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0B424" w14:textId="77777777" w:rsidR="00A4743C" w:rsidRDefault="00BA3A6C" w:rsidP="00A4743C">
      <w:r>
        <w:rPr>
          <w:noProof/>
          <w:lang w:val="en-US"/>
        </w:rPr>
        <mc:AlternateContent>
          <mc:Choice Requires="wps">
            <w:drawing>
              <wp:anchor distT="45720" distB="45720" distL="114300" distR="114300" simplePos="0" relativeHeight="251658240" behindDoc="0" locked="0" layoutInCell="1" allowOverlap="1" wp14:anchorId="73C73E52" wp14:editId="3DAED097">
                <wp:simplePos x="0" y="0"/>
                <wp:positionH relativeFrom="column">
                  <wp:posOffset>1114425</wp:posOffset>
                </wp:positionH>
                <wp:positionV relativeFrom="paragraph">
                  <wp:posOffset>9525</wp:posOffset>
                </wp:positionV>
                <wp:extent cx="52482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noFill/>
                          <a:miter lim="800000"/>
                          <a:headEnd/>
                          <a:tailEnd/>
                        </a:ln>
                      </wps:spPr>
                      <wps:txbx>
                        <w:txbxContent>
                          <w:p w14:paraId="1D6C7622" w14:textId="1F3FF294" w:rsidR="00BA3A6C" w:rsidRDefault="00BA3A6C" w:rsidP="00BA3A6C">
                            <w:pPr>
                              <w:spacing w:after="0" w:line="240" w:lineRule="auto"/>
                              <w:rPr>
                                <w:rFonts w:ascii="Arial Black" w:hAnsi="Arial Black"/>
                                <w:sz w:val="24"/>
                                <w:szCs w:val="24"/>
                              </w:rPr>
                            </w:pPr>
                            <w:r w:rsidRPr="00BA3A6C">
                              <w:rPr>
                                <w:rFonts w:ascii="Arial Black" w:hAnsi="Arial Black"/>
                                <w:sz w:val="24"/>
                                <w:szCs w:val="24"/>
                              </w:rPr>
                              <w:t>Otonabee Minor Hockey</w:t>
                            </w:r>
                          </w:p>
                          <w:p w14:paraId="7349DC79" w14:textId="739BFD73" w:rsidR="0055064E" w:rsidRDefault="0055064E" w:rsidP="00BA3A6C">
                            <w:pPr>
                              <w:spacing w:after="0" w:line="240" w:lineRule="auto"/>
                              <w:rPr>
                                <w:rFonts w:ascii="Arial Black" w:hAnsi="Arial Black"/>
                                <w:sz w:val="24"/>
                                <w:szCs w:val="24"/>
                              </w:rPr>
                            </w:pPr>
                          </w:p>
                          <w:p w14:paraId="42570968" w14:textId="76D53B15" w:rsidR="0055064E" w:rsidRPr="0055064E" w:rsidRDefault="0055064E" w:rsidP="00BA3A6C">
                            <w:pPr>
                              <w:spacing w:after="0" w:line="240" w:lineRule="auto"/>
                              <w:rPr>
                                <w:rFonts w:ascii="Arial Black" w:hAnsi="Arial Black"/>
                                <w:sz w:val="24"/>
                                <w:szCs w:val="24"/>
                              </w:rPr>
                            </w:pPr>
                            <w:r>
                              <w:rPr>
                                <w:rFonts w:ascii="Arial Black" w:hAnsi="Arial Black"/>
                                <w:sz w:val="24"/>
                                <w:szCs w:val="24"/>
                              </w:rPr>
                              <w:t>Concussion Return to Sport 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C73E52" id="_x0000_t202" coordsize="21600,21600" o:spt="202" path="m,l,21600r21600,l21600,xe">
                <v:stroke joinstyle="miter"/>
                <v:path gradientshapeok="t" o:connecttype="rect"/>
              </v:shapetype>
              <v:shape id="Text Box 2" o:spid="_x0000_s1026" type="#_x0000_t202" style="position:absolute;margin-left:87.75pt;margin-top:.75pt;width:413.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Z7IQ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" stroked="f">
                <v:textbox style="mso-fit-shape-to-text:t">
                  <w:txbxContent>
                    <w:p w14:paraId="1D6C7622" w14:textId="1F3FF294" w:rsidR="00BA3A6C" w:rsidRDefault="00BA3A6C" w:rsidP="00BA3A6C">
                      <w:pPr>
                        <w:spacing w:after="0" w:line="240" w:lineRule="auto"/>
                        <w:rPr>
                          <w:rFonts w:ascii="Arial Black" w:hAnsi="Arial Black"/>
                          <w:sz w:val="24"/>
                          <w:szCs w:val="24"/>
                        </w:rPr>
                      </w:pPr>
                      <w:r w:rsidRPr="00BA3A6C">
                        <w:rPr>
                          <w:rFonts w:ascii="Arial Black" w:hAnsi="Arial Black"/>
                          <w:sz w:val="24"/>
                          <w:szCs w:val="24"/>
                        </w:rPr>
                        <w:t>Otonabee Minor Hockey</w:t>
                      </w:r>
                    </w:p>
                    <w:p w14:paraId="7349DC79" w14:textId="739BFD73" w:rsidR="0055064E" w:rsidRDefault="0055064E" w:rsidP="00BA3A6C">
                      <w:pPr>
                        <w:spacing w:after="0" w:line="240" w:lineRule="auto"/>
                        <w:rPr>
                          <w:rFonts w:ascii="Arial Black" w:hAnsi="Arial Black"/>
                          <w:sz w:val="24"/>
                          <w:szCs w:val="24"/>
                        </w:rPr>
                      </w:pPr>
                    </w:p>
                    <w:p w14:paraId="42570968" w14:textId="76D53B15" w:rsidR="0055064E" w:rsidRPr="0055064E" w:rsidRDefault="0055064E" w:rsidP="00BA3A6C">
                      <w:pPr>
                        <w:spacing w:after="0" w:line="240" w:lineRule="auto"/>
                        <w:rPr>
                          <w:rFonts w:ascii="Arial Black" w:hAnsi="Arial Black"/>
                          <w:sz w:val="24"/>
                          <w:szCs w:val="24"/>
                        </w:rPr>
                      </w:pPr>
                      <w:r>
                        <w:rPr>
                          <w:rFonts w:ascii="Arial Black" w:hAnsi="Arial Black"/>
                          <w:sz w:val="24"/>
                          <w:szCs w:val="24"/>
                        </w:rPr>
                        <w:t>Concussion Return to Sport Protocol</w:t>
                      </w:r>
                    </w:p>
                  </w:txbxContent>
                </v:textbox>
                <w10:wrap type="square"/>
              </v:shape>
            </w:pict>
          </mc:Fallback>
        </mc:AlternateContent>
      </w:r>
      <w:r>
        <w:rPr>
          <w:noProof/>
          <w:lang w:val="en-US"/>
        </w:rPr>
        <mc:AlternateContent>
          <mc:Choice Requires="wps">
            <w:drawing>
              <wp:anchor distT="0" distB="0" distL="114300" distR="114300" simplePos="0" relativeHeight="251661312" behindDoc="0" locked="0" layoutInCell="1" allowOverlap="1" wp14:anchorId="768513FC" wp14:editId="6A5C904C">
                <wp:simplePos x="0" y="0"/>
                <wp:positionH relativeFrom="column">
                  <wp:posOffset>1162049</wp:posOffset>
                </wp:positionH>
                <wp:positionV relativeFrom="paragraph">
                  <wp:posOffset>942975</wp:posOffset>
                </wp:positionV>
                <wp:extent cx="517207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flipV="1">
                          <a:off x="0" y="0"/>
                          <a:ext cx="5172075" cy="952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A5E6F"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1.5pt,74.25pt" to="49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" strokecolor="black [3213]" strokeweight="2.5pt"/>
            </w:pict>
          </mc:Fallback>
        </mc:AlternateContent>
      </w:r>
      <w:r>
        <w:rPr>
          <w:noProof/>
          <w:lang w:val="en-US"/>
        </w:rPr>
        <w:drawing>
          <wp:inline distT="0" distB="0" distL="0" distR="0" wp14:anchorId="7C18A738" wp14:editId="58D419F6">
            <wp:extent cx="914400" cy="98792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ckey-image2.jpg"/>
                    <pic:cNvPicPr/>
                  </pic:nvPicPr>
                  <pic:blipFill>
                    <a:blip r:embed="rId5">
                      <a:extLst>
                        <a:ext uri="{28A0092B-C50C-407E-A947-70E740481C1C}">
                          <a14:useLocalDpi xmlns:a14="http://schemas.microsoft.com/office/drawing/2010/main" val="0"/>
                        </a:ext>
                      </a:extLst>
                    </a:blip>
                    <a:stretch>
                      <a:fillRect/>
                    </a:stretch>
                  </pic:blipFill>
                  <pic:spPr>
                    <a:xfrm>
                      <a:off x="0" y="0"/>
                      <a:ext cx="925674" cy="1000100"/>
                    </a:xfrm>
                    <a:prstGeom prst="rect">
                      <a:avLst/>
                    </a:prstGeom>
                  </pic:spPr>
                </pic:pic>
              </a:graphicData>
            </a:graphic>
          </wp:inline>
        </w:drawing>
      </w:r>
    </w:p>
    <w:p w14:paraId="7698878E" w14:textId="77777777" w:rsidR="000453F2" w:rsidRDefault="00A4743C" w:rsidP="000453F2">
      <w:pPr>
        <w:spacing w:after="0" w:line="240" w:lineRule="auto"/>
        <w:rPr>
          <w:rFonts w:ascii="Arial" w:hAnsi="Arial" w:cs="Arial"/>
          <w:sz w:val="24"/>
          <w:szCs w:val="24"/>
        </w:rPr>
      </w:pPr>
      <w:r w:rsidRPr="0055064E">
        <w:rPr>
          <w:rFonts w:ascii="Arial" w:hAnsi="Arial" w:cs="Arial"/>
          <w:sz w:val="24"/>
          <w:szCs w:val="24"/>
        </w:rPr>
        <w:t>A C</w:t>
      </w:r>
      <w:r w:rsidR="0055064E">
        <w:rPr>
          <w:rFonts w:ascii="Arial" w:hAnsi="Arial" w:cs="Arial"/>
          <w:sz w:val="24"/>
          <w:szCs w:val="24"/>
        </w:rPr>
        <w:t>oncussion</w:t>
      </w:r>
      <w:r w:rsidRPr="0055064E">
        <w:rPr>
          <w:rFonts w:ascii="Arial" w:hAnsi="Arial" w:cs="Arial"/>
          <w:sz w:val="24"/>
          <w:szCs w:val="24"/>
        </w:rPr>
        <w:t xml:space="preserve"> is a serious event, but you can recover fully from such an injury if the brain is given enough time to rest and recuperate.</w:t>
      </w:r>
      <w:r w:rsidR="0055064E" w:rsidRPr="0055064E">
        <w:rPr>
          <w:rFonts w:ascii="Arial" w:hAnsi="Arial" w:cs="Arial"/>
          <w:sz w:val="24"/>
          <w:szCs w:val="24"/>
        </w:rPr>
        <w:t xml:space="preserve">  The return to sport process is gradual and begins after a doctor has given the player clearance to return to activity.  If any symptoms/signs return during this process, the player must be re-evaluated by a physician.</w:t>
      </w:r>
      <w:r w:rsidRPr="0055064E">
        <w:rPr>
          <w:rFonts w:ascii="Arial" w:hAnsi="Arial" w:cs="Arial"/>
          <w:sz w:val="24"/>
          <w:szCs w:val="24"/>
        </w:rPr>
        <w:t xml:space="preserve"> Each step must take a minimum of one day, but could last longer depending on the player and his or her specific situation.</w:t>
      </w:r>
      <w:r w:rsidR="0055064E" w:rsidRPr="0055064E">
        <w:rPr>
          <w:rFonts w:ascii="Arial" w:hAnsi="Arial" w:cs="Arial"/>
          <w:sz w:val="24"/>
          <w:szCs w:val="24"/>
        </w:rPr>
        <w:t xml:space="preserve">  Remember, symptoms may return later that day or the next, not necessarily when exercising!</w:t>
      </w:r>
    </w:p>
    <w:p w14:paraId="71C0723C" w14:textId="6BD87778" w:rsidR="000453F2" w:rsidRDefault="000453F2" w:rsidP="000453F2">
      <w:pPr>
        <w:spacing w:after="0" w:line="240" w:lineRule="auto"/>
        <w:rPr>
          <w:rStyle w:val="Strong"/>
          <w:rFonts w:ascii="Arial" w:hAnsi="Arial" w:cs="Arial"/>
          <w:color w:val="FF0000"/>
          <w:u w:val="single"/>
        </w:rPr>
      </w:pPr>
      <w:r>
        <w:rPr>
          <w:rStyle w:val="Strong"/>
          <w:rFonts w:ascii="Arial" w:hAnsi="Arial" w:cs="Arial"/>
          <w:color w:val="FF0000"/>
          <w:u w:val="single"/>
        </w:rPr>
        <w:t>*A DOCTOR'S NOTE IS MANDATORY TO RETURN TO SPORT</w:t>
      </w:r>
    </w:p>
    <w:p w14:paraId="6A6C3239" w14:textId="77777777" w:rsidR="000453F2" w:rsidRPr="0055064E" w:rsidRDefault="000453F2" w:rsidP="000453F2">
      <w:pPr>
        <w:spacing w:after="0" w:line="240" w:lineRule="auto"/>
        <w:rPr>
          <w:rFonts w:ascii="Arial" w:hAnsi="Arial" w:cs="Arial"/>
          <w:sz w:val="24"/>
          <w:szCs w:val="24"/>
        </w:rPr>
      </w:pPr>
      <w:bookmarkStart w:id="0" w:name="_GoBack"/>
      <w:bookmarkEnd w:id="0"/>
    </w:p>
    <w:p w14:paraId="44D6A86E" w14:textId="77777777" w:rsidR="00A4743C" w:rsidRPr="0055064E" w:rsidRDefault="00A4743C" w:rsidP="00A4743C">
      <w:pPr>
        <w:rPr>
          <w:rFonts w:ascii="Arial" w:hAnsi="Arial" w:cs="Arial"/>
          <w:b/>
          <w:i/>
          <w:sz w:val="24"/>
          <w:szCs w:val="24"/>
          <w:u w:val="single"/>
        </w:rPr>
      </w:pPr>
      <w:r w:rsidRPr="0055064E">
        <w:rPr>
          <w:rFonts w:ascii="Arial" w:hAnsi="Arial" w:cs="Arial"/>
          <w:b/>
          <w:i/>
          <w:sz w:val="24"/>
          <w:szCs w:val="24"/>
          <w:u w:val="single"/>
        </w:rPr>
        <w:t>Step 1: Symptom Limited Activity</w:t>
      </w:r>
    </w:p>
    <w:p w14:paraId="7A086AAF" w14:textId="77777777" w:rsidR="00A4743C" w:rsidRPr="0055064E" w:rsidRDefault="00A4743C" w:rsidP="00A4743C">
      <w:pPr>
        <w:rPr>
          <w:rFonts w:ascii="Arial" w:hAnsi="Arial" w:cs="Arial"/>
          <w:sz w:val="24"/>
          <w:szCs w:val="24"/>
        </w:rPr>
      </w:pPr>
      <w:r w:rsidRPr="0055064E">
        <w:rPr>
          <w:rFonts w:ascii="Arial" w:hAnsi="Arial" w:cs="Arial"/>
          <w:sz w:val="24"/>
          <w:szCs w:val="24"/>
        </w:rPr>
        <w:t>After an initial short period of rest of 24-48 hours, light cognitive and physical activity can be initiated as long as they don’t worsen symptoms. A physician, preferably one with experience managing concussions, should be consulted before beginning a step-wise return to learn and sport strategy.</w:t>
      </w:r>
    </w:p>
    <w:p w14:paraId="67E8B12C" w14:textId="5BA79AE0" w:rsidR="00A4743C" w:rsidRPr="0055064E" w:rsidRDefault="00A4743C" w:rsidP="00A4743C">
      <w:pPr>
        <w:rPr>
          <w:rFonts w:ascii="Arial" w:hAnsi="Arial" w:cs="Arial"/>
          <w:b/>
          <w:i/>
          <w:sz w:val="24"/>
          <w:szCs w:val="24"/>
          <w:u w:val="single"/>
        </w:rPr>
      </w:pPr>
      <w:r w:rsidRPr="0055064E">
        <w:rPr>
          <w:rFonts w:ascii="Arial" w:hAnsi="Arial" w:cs="Arial"/>
          <w:b/>
          <w:i/>
          <w:sz w:val="24"/>
          <w:szCs w:val="24"/>
          <w:u w:val="single"/>
        </w:rPr>
        <w:t>Step 2: Light Aerobic Exercise</w:t>
      </w:r>
    </w:p>
    <w:p w14:paraId="64E1DB38" w14:textId="77777777" w:rsidR="00A4743C" w:rsidRPr="0055064E" w:rsidRDefault="00A4743C" w:rsidP="00A4743C">
      <w:pPr>
        <w:rPr>
          <w:rFonts w:ascii="Arial" w:hAnsi="Arial" w:cs="Arial"/>
          <w:sz w:val="24"/>
          <w:szCs w:val="24"/>
        </w:rPr>
      </w:pPr>
      <w:r w:rsidRPr="0055064E">
        <w:rPr>
          <w:rFonts w:ascii="Arial" w:hAnsi="Arial" w:cs="Arial"/>
          <w:sz w:val="24"/>
          <w:szCs w:val="24"/>
        </w:rPr>
        <w:t>Activities such as walking or stationary cycling. The player should be supervised by someone who can help monitor for symptoms and signs. No resistance training or weight lifting. The duration and intensity of the aerobic exercise can be gradually increased over time if no symptoms or signs return during the exercise or the next day.</w:t>
      </w:r>
    </w:p>
    <w:p w14:paraId="75A0EC1A" w14:textId="77777777" w:rsidR="00A4743C" w:rsidRPr="0055064E" w:rsidRDefault="00A4743C" w:rsidP="00A4743C">
      <w:pPr>
        <w:rPr>
          <w:rFonts w:ascii="Arial" w:hAnsi="Arial" w:cs="Arial"/>
          <w:sz w:val="24"/>
          <w:szCs w:val="24"/>
        </w:rPr>
      </w:pPr>
      <w:r w:rsidRPr="0055064E">
        <w:rPr>
          <w:rFonts w:ascii="Arial" w:hAnsi="Arial" w:cs="Arial"/>
          <w:sz w:val="24"/>
          <w:szCs w:val="24"/>
        </w:rPr>
        <w:t>Symptoms? Return to previous stage and only engage in activities as tolerated. If symptoms persist, consult a physician.</w:t>
      </w:r>
    </w:p>
    <w:p w14:paraId="2C66D6E3" w14:textId="77777777" w:rsidR="00A4743C" w:rsidRPr="0055064E" w:rsidRDefault="00A4743C" w:rsidP="00A4743C">
      <w:pPr>
        <w:rPr>
          <w:rFonts w:ascii="Arial" w:hAnsi="Arial" w:cs="Arial"/>
          <w:sz w:val="24"/>
          <w:szCs w:val="24"/>
        </w:rPr>
      </w:pPr>
      <w:r w:rsidRPr="0055064E">
        <w:rPr>
          <w:rFonts w:ascii="Arial" w:hAnsi="Arial" w:cs="Arial"/>
          <w:sz w:val="24"/>
          <w:szCs w:val="24"/>
        </w:rPr>
        <w:t>No symptoms? Proceed to Step 3 the next day.</w:t>
      </w:r>
    </w:p>
    <w:p w14:paraId="5E87FF48" w14:textId="77777777" w:rsidR="00A4743C" w:rsidRPr="0055064E" w:rsidRDefault="00A4743C" w:rsidP="00A4743C">
      <w:pPr>
        <w:rPr>
          <w:rFonts w:ascii="Arial" w:hAnsi="Arial" w:cs="Arial"/>
          <w:b/>
          <w:i/>
          <w:sz w:val="24"/>
          <w:szCs w:val="24"/>
          <w:u w:val="single"/>
        </w:rPr>
      </w:pPr>
      <w:r w:rsidRPr="0055064E">
        <w:rPr>
          <w:rFonts w:ascii="Arial" w:hAnsi="Arial" w:cs="Arial"/>
          <w:b/>
          <w:i/>
          <w:sz w:val="24"/>
          <w:szCs w:val="24"/>
          <w:u w:val="single"/>
        </w:rPr>
        <w:t>Step 3: Sport-Specific Activities</w:t>
      </w:r>
    </w:p>
    <w:p w14:paraId="225943C7" w14:textId="77777777" w:rsidR="00A4743C" w:rsidRPr="0055064E" w:rsidRDefault="00A4743C" w:rsidP="00A4743C">
      <w:pPr>
        <w:rPr>
          <w:rFonts w:ascii="Arial" w:hAnsi="Arial" w:cs="Arial"/>
          <w:sz w:val="24"/>
          <w:szCs w:val="24"/>
        </w:rPr>
      </w:pPr>
      <w:r w:rsidRPr="0055064E">
        <w:rPr>
          <w:rFonts w:ascii="Arial" w:hAnsi="Arial" w:cs="Arial"/>
          <w:sz w:val="24"/>
          <w:szCs w:val="24"/>
        </w:rPr>
        <w:t>Activities such as skating or throwing can begin at step 3. There should be no body contact or other jarring motions such as high-speed stops or hitting a baseball with a bat.</w:t>
      </w:r>
    </w:p>
    <w:p w14:paraId="26ECABF6" w14:textId="77777777" w:rsidR="00A4743C" w:rsidRPr="0055064E" w:rsidRDefault="00A4743C" w:rsidP="00A4743C">
      <w:pPr>
        <w:rPr>
          <w:rFonts w:ascii="Arial" w:hAnsi="Arial" w:cs="Arial"/>
          <w:sz w:val="24"/>
          <w:szCs w:val="24"/>
        </w:rPr>
      </w:pPr>
      <w:r w:rsidRPr="0055064E">
        <w:rPr>
          <w:rFonts w:ascii="Arial" w:hAnsi="Arial" w:cs="Arial"/>
          <w:sz w:val="24"/>
          <w:szCs w:val="24"/>
        </w:rPr>
        <w:t>Symptoms? Return to previous stage and only engage in activities as tolerated. If symptoms persist consult a physician.</w:t>
      </w:r>
    </w:p>
    <w:p w14:paraId="3A5FD7F2" w14:textId="77777777" w:rsidR="00A4743C" w:rsidRPr="0055064E" w:rsidRDefault="00A4743C" w:rsidP="00A4743C">
      <w:pPr>
        <w:rPr>
          <w:rFonts w:ascii="Arial" w:hAnsi="Arial" w:cs="Arial"/>
          <w:sz w:val="24"/>
          <w:szCs w:val="24"/>
        </w:rPr>
      </w:pPr>
      <w:r w:rsidRPr="0055064E">
        <w:rPr>
          <w:rFonts w:ascii="Arial" w:hAnsi="Arial" w:cs="Arial"/>
          <w:sz w:val="24"/>
          <w:szCs w:val="24"/>
        </w:rPr>
        <w:t>No symptoms? Proceed to Step 4 the next day.</w:t>
      </w:r>
    </w:p>
    <w:p w14:paraId="7B14B682" w14:textId="77777777" w:rsidR="0055064E" w:rsidRDefault="0055064E" w:rsidP="00A4743C">
      <w:pPr>
        <w:rPr>
          <w:rFonts w:ascii="Arial" w:hAnsi="Arial" w:cs="Arial"/>
          <w:sz w:val="24"/>
          <w:szCs w:val="24"/>
        </w:rPr>
      </w:pPr>
    </w:p>
    <w:p w14:paraId="46EB0E8B" w14:textId="47ED70FF" w:rsidR="00A4743C" w:rsidRPr="0055064E" w:rsidRDefault="00A4743C" w:rsidP="00A4743C">
      <w:pPr>
        <w:rPr>
          <w:rFonts w:ascii="Arial" w:hAnsi="Arial" w:cs="Arial"/>
          <w:b/>
          <w:i/>
          <w:sz w:val="24"/>
          <w:szCs w:val="24"/>
          <w:u w:val="single"/>
        </w:rPr>
      </w:pPr>
      <w:r w:rsidRPr="0055064E">
        <w:rPr>
          <w:rFonts w:ascii="Arial" w:hAnsi="Arial" w:cs="Arial"/>
          <w:b/>
          <w:i/>
          <w:sz w:val="24"/>
          <w:szCs w:val="24"/>
          <w:u w:val="single"/>
        </w:rPr>
        <w:lastRenderedPageBreak/>
        <w:t>Step 4: Begin drills without body contact</w:t>
      </w:r>
    </w:p>
    <w:p w14:paraId="4299C349" w14:textId="77777777" w:rsidR="00A4743C" w:rsidRPr="0055064E" w:rsidRDefault="00A4743C" w:rsidP="00A4743C">
      <w:pPr>
        <w:rPr>
          <w:rFonts w:ascii="Arial" w:hAnsi="Arial" w:cs="Arial"/>
          <w:sz w:val="24"/>
          <w:szCs w:val="24"/>
        </w:rPr>
      </w:pPr>
      <w:r w:rsidRPr="0055064E">
        <w:rPr>
          <w:rFonts w:ascii="Arial" w:hAnsi="Arial" w:cs="Arial"/>
          <w:sz w:val="24"/>
          <w:szCs w:val="24"/>
        </w:rPr>
        <w:t>Symptoms? Return to previous stage and only engage in activities as tolerated. If symptoms persist consult a physician.</w:t>
      </w:r>
    </w:p>
    <w:p w14:paraId="48D367EE" w14:textId="77777777" w:rsidR="00A4743C" w:rsidRPr="0055064E" w:rsidRDefault="00A4743C" w:rsidP="00A4743C">
      <w:pPr>
        <w:rPr>
          <w:rFonts w:ascii="Arial" w:hAnsi="Arial" w:cs="Arial"/>
          <w:sz w:val="24"/>
          <w:szCs w:val="24"/>
        </w:rPr>
      </w:pPr>
      <w:r w:rsidRPr="0055064E">
        <w:rPr>
          <w:rFonts w:ascii="Arial" w:hAnsi="Arial" w:cs="Arial"/>
          <w:sz w:val="24"/>
          <w:szCs w:val="24"/>
        </w:rPr>
        <w:t>No symptoms? The time needed to progress from non-contact exercise will vary with the severity of the concussion and with the player. Proceed to Step 5 only after medical clearance.</w:t>
      </w:r>
    </w:p>
    <w:p w14:paraId="46D06BBE" w14:textId="77777777" w:rsidR="00A4743C" w:rsidRPr="0055064E" w:rsidRDefault="00A4743C" w:rsidP="00A4743C">
      <w:pPr>
        <w:rPr>
          <w:rFonts w:ascii="Arial" w:hAnsi="Arial" w:cs="Arial"/>
          <w:b/>
          <w:i/>
          <w:sz w:val="24"/>
          <w:szCs w:val="24"/>
          <w:u w:val="single"/>
        </w:rPr>
      </w:pPr>
      <w:r w:rsidRPr="0055064E">
        <w:rPr>
          <w:rFonts w:ascii="Arial" w:hAnsi="Arial" w:cs="Arial"/>
          <w:b/>
          <w:i/>
          <w:sz w:val="24"/>
          <w:szCs w:val="24"/>
          <w:u w:val="single"/>
        </w:rPr>
        <w:t>Step 5: “On Field” practice with body contact, once cleared by a doctor</w:t>
      </w:r>
    </w:p>
    <w:p w14:paraId="44C23802" w14:textId="77777777" w:rsidR="00A4743C" w:rsidRPr="0055064E" w:rsidRDefault="00A4743C" w:rsidP="00A4743C">
      <w:pPr>
        <w:rPr>
          <w:rFonts w:ascii="Arial" w:hAnsi="Arial" w:cs="Arial"/>
          <w:sz w:val="24"/>
          <w:szCs w:val="24"/>
        </w:rPr>
      </w:pPr>
      <w:r w:rsidRPr="0055064E">
        <w:rPr>
          <w:rFonts w:ascii="Arial" w:hAnsi="Arial" w:cs="Arial"/>
          <w:sz w:val="24"/>
          <w:szCs w:val="24"/>
        </w:rPr>
        <w:t>Symptoms? Return to previous stage and only engage in activities as tolerated. If symptoms persist consult a physician.</w:t>
      </w:r>
    </w:p>
    <w:p w14:paraId="088EC76E" w14:textId="77777777" w:rsidR="00A4743C" w:rsidRPr="0055064E" w:rsidRDefault="00A4743C" w:rsidP="00A4743C">
      <w:pPr>
        <w:rPr>
          <w:rFonts w:ascii="Arial" w:hAnsi="Arial" w:cs="Arial"/>
          <w:sz w:val="24"/>
          <w:szCs w:val="24"/>
        </w:rPr>
      </w:pPr>
      <w:r w:rsidRPr="0055064E">
        <w:rPr>
          <w:rFonts w:ascii="Arial" w:hAnsi="Arial" w:cs="Arial"/>
          <w:sz w:val="24"/>
          <w:szCs w:val="24"/>
        </w:rPr>
        <w:t>No symptoms? Proceed to Step 6 the next day.</w:t>
      </w:r>
    </w:p>
    <w:p w14:paraId="6693EB61" w14:textId="77777777" w:rsidR="00A4743C" w:rsidRPr="0055064E" w:rsidRDefault="00A4743C" w:rsidP="00A4743C">
      <w:pPr>
        <w:rPr>
          <w:rFonts w:ascii="Arial" w:hAnsi="Arial" w:cs="Arial"/>
          <w:sz w:val="24"/>
          <w:szCs w:val="24"/>
        </w:rPr>
      </w:pPr>
      <w:r w:rsidRPr="0055064E">
        <w:rPr>
          <w:rFonts w:ascii="Arial" w:hAnsi="Arial" w:cs="Arial"/>
          <w:b/>
          <w:i/>
          <w:sz w:val="24"/>
          <w:szCs w:val="24"/>
          <w:u w:val="single"/>
        </w:rPr>
        <w:t>Step 6: Game play</w:t>
      </w:r>
      <w:r w:rsidRPr="0055064E">
        <w:rPr>
          <w:rFonts w:ascii="Arial" w:hAnsi="Arial" w:cs="Arial"/>
          <w:sz w:val="24"/>
          <w:szCs w:val="24"/>
        </w:rPr>
        <w:t>.</w:t>
      </w:r>
    </w:p>
    <w:p w14:paraId="1E18DB67" w14:textId="32997E26" w:rsidR="000507EC" w:rsidRPr="0055064E" w:rsidRDefault="000507EC" w:rsidP="000507EC">
      <w:pPr>
        <w:rPr>
          <w:rFonts w:ascii="Arial" w:hAnsi="Arial" w:cs="Arial"/>
          <w:sz w:val="24"/>
          <w:szCs w:val="24"/>
        </w:rPr>
      </w:pPr>
    </w:p>
    <w:sectPr w:rsidR="000507EC" w:rsidRPr="005506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728E2"/>
    <w:multiLevelType w:val="hybridMultilevel"/>
    <w:tmpl w:val="C890DF58"/>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start w:val="1"/>
      <w:numFmt w:val="bullet"/>
      <w:lvlText w:val=""/>
      <w:lvlJc w:val="left"/>
      <w:pPr>
        <w:tabs>
          <w:tab w:val="num" w:pos="2880"/>
        </w:tabs>
        <w:ind w:left="2880" w:hanging="360"/>
      </w:pPr>
      <w:rPr>
        <w:rFonts w:ascii="Wingdings" w:hAnsi="Wingdings" w:hint="default"/>
      </w:rPr>
    </w:lvl>
    <w:lvl w:ilvl="3" w:tplc="10090001">
      <w:start w:val="1"/>
      <w:numFmt w:val="bullet"/>
      <w:lvlText w:val=""/>
      <w:lvlJc w:val="left"/>
      <w:pPr>
        <w:tabs>
          <w:tab w:val="num" w:pos="3600"/>
        </w:tabs>
        <w:ind w:left="3600" w:hanging="360"/>
      </w:pPr>
      <w:rPr>
        <w:rFonts w:ascii="Symbol" w:hAnsi="Symbol" w:hint="default"/>
      </w:rPr>
    </w:lvl>
    <w:lvl w:ilvl="4" w:tplc="10090003">
      <w:start w:val="1"/>
      <w:numFmt w:val="bullet"/>
      <w:lvlText w:val="o"/>
      <w:lvlJc w:val="left"/>
      <w:pPr>
        <w:tabs>
          <w:tab w:val="num" w:pos="4320"/>
        </w:tabs>
        <w:ind w:left="4320" w:hanging="360"/>
      </w:pPr>
      <w:rPr>
        <w:rFonts w:ascii="Courier New" w:hAnsi="Courier New" w:cs="Courier New" w:hint="default"/>
      </w:rPr>
    </w:lvl>
    <w:lvl w:ilvl="5" w:tplc="10090005">
      <w:start w:val="1"/>
      <w:numFmt w:val="bullet"/>
      <w:lvlText w:val=""/>
      <w:lvlJc w:val="left"/>
      <w:pPr>
        <w:tabs>
          <w:tab w:val="num" w:pos="5040"/>
        </w:tabs>
        <w:ind w:left="5040" w:hanging="360"/>
      </w:pPr>
      <w:rPr>
        <w:rFonts w:ascii="Wingdings" w:hAnsi="Wingdings" w:hint="default"/>
      </w:rPr>
    </w:lvl>
    <w:lvl w:ilvl="6" w:tplc="10090001">
      <w:start w:val="1"/>
      <w:numFmt w:val="bullet"/>
      <w:lvlText w:val=""/>
      <w:lvlJc w:val="left"/>
      <w:pPr>
        <w:tabs>
          <w:tab w:val="num" w:pos="5760"/>
        </w:tabs>
        <w:ind w:left="5760" w:hanging="360"/>
      </w:pPr>
      <w:rPr>
        <w:rFonts w:ascii="Symbol" w:hAnsi="Symbol" w:hint="default"/>
      </w:rPr>
    </w:lvl>
    <w:lvl w:ilvl="7" w:tplc="10090003">
      <w:start w:val="1"/>
      <w:numFmt w:val="bullet"/>
      <w:lvlText w:val="o"/>
      <w:lvlJc w:val="left"/>
      <w:pPr>
        <w:tabs>
          <w:tab w:val="num" w:pos="6480"/>
        </w:tabs>
        <w:ind w:left="6480" w:hanging="360"/>
      </w:pPr>
      <w:rPr>
        <w:rFonts w:ascii="Courier New" w:hAnsi="Courier New" w:cs="Courier New" w:hint="default"/>
      </w:rPr>
    </w:lvl>
    <w:lvl w:ilvl="8" w:tplc="10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6E"/>
    <w:rsid w:val="000453F2"/>
    <w:rsid w:val="000507EC"/>
    <w:rsid w:val="00165943"/>
    <w:rsid w:val="00174AED"/>
    <w:rsid w:val="001F37AA"/>
    <w:rsid w:val="002373FB"/>
    <w:rsid w:val="002B1A0B"/>
    <w:rsid w:val="002D6C76"/>
    <w:rsid w:val="003C763F"/>
    <w:rsid w:val="00471CFC"/>
    <w:rsid w:val="004B1013"/>
    <w:rsid w:val="0055064E"/>
    <w:rsid w:val="006908E4"/>
    <w:rsid w:val="00752DFA"/>
    <w:rsid w:val="007C0A52"/>
    <w:rsid w:val="00884D1B"/>
    <w:rsid w:val="00901B9B"/>
    <w:rsid w:val="009405B8"/>
    <w:rsid w:val="00942839"/>
    <w:rsid w:val="009E7CF2"/>
    <w:rsid w:val="00A4743C"/>
    <w:rsid w:val="00BA3A6C"/>
    <w:rsid w:val="00D61578"/>
    <w:rsid w:val="00DD7652"/>
    <w:rsid w:val="00E1366E"/>
    <w:rsid w:val="00E8157D"/>
    <w:rsid w:val="00EA7DF0"/>
    <w:rsid w:val="00ED09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F67E"/>
  <w15:docId w15:val="{9A72EBB0-603B-4CFE-8F8B-FA809274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sid w:val="00045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1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Amy Bickmore</cp:lastModifiedBy>
  <cp:revision>4</cp:revision>
  <dcterms:created xsi:type="dcterms:W3CDTF">2019-07-07T20:45:00Z</dcterms:created>
  <dcterms:modified xsi:type="dcterms:W3CDTF">2019-07-16T01:05:00Z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-63722094</vt:i4>
  </property>
  <property fmtid="{D5CDD505-2E9C-101B-9397-08002B2CF9AE}" pid="3" name="_NewReviewCycle">
    <vt:lpwstr/>
  </property>
  <property fmtid="{D5CDD505-2E9C-101B-9397-08002B2CF9AE}" pid="4" name="_EmailSubject">
    <vt:lpwstr>Letterhead</vt:lpwstr>
  </property>
  <property fmtid="{D5CDD505-2E9C-101B-9397-08002B2CF9AE}" pid="5" name="_AuthorEmail">
    <vt:lpwstr>craig.ferguson@siemens.com</vt:lpwstr>
  </property>
  <property fmtid="{D5CDD505-2E9C-101B-9397-08002B2CF9AE}" pid="6" name="_AuthorEmailDisplayName">
    <vt:lpwstr>Ferguson, Craig (PD PA PI MF PBH EN IE)</vt:lpwstr>
  </property>
  <property fmtid="{D5CDD505-2E9C-101B-9397-08002B2CF9AE}" pid="7" name="_ReviewingToolsShownOnce">
    <vt:lpwstr/>
  </property>
</Properties>
</file>